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724BC" w14:textId="77777777" w:rsidR="00457AE1" w:rsidRDefault="001F1E35" w:rsidP="002927CC">
      <w:pPr>
        <w:pStyle w:val="Header"/>
        <w:tabs>
          <w:tab w:val="clear" w:pos="4320"/>
          <w:tab w:val="clear" w:pos="8640"/>
        </w:tabs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4F68FA" wp14:editId="40603B4E">
                <wp:simplePos x="0" y="0"/>
                <wp:positionH relativeFrom="column">
                  <wp:posOffset>3566795</wp:posOffset>
                </wp:positionH>
                <wp:positionV relativeFrom="paragraph">
                  <wp:posOffset>-767764</wp:posOffset>
                </wp:positionV>
                <wp:extent cx="3371850" cy="1181735"/>
                <wp:effectExtent l="0" t="0" r="19050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55954" w14:textId="77777777" w:rsidR="00B31B6B" w:rsidRPr="00951505" w:rsidRDefault="00B31B6B">
                            <w:pPr>
                              <w:pStyle w:val="Heading1"/>
                              <w:rPr>
                                <w:rFonts w:ascii="Myriad Pro" w:hAnsi="Myriad Pro"/>
                                <w:sz w:val="22"/>
                              </w:rPr>
                            </w:pPr>
                            <w:r w:rsidRPr="00951505">
                              <w:rPr>
                                <w:rFonts w:ascii="Myriad Pro" w:hAnsi="Myriad Pro"/>
                                <w:sz w:val="22"/>
                              </w:rPr>
                              <w:t>Arts Facts . . . Arts Organization Revenues</w:t>
                            </w:r>
                          </w:p>
                          <w:p w14:paraId="4050B47F" w14:textId="7ADF4A6F" w:rsidR="00B31B6B" w:rsidRPr="00951505" w:rsidRDefault="00B31B6B">
                            <w:pPr>
                              <w:spacing w:line="280" w:lineRule="atLeast"/>
                              <w:rPr>
                                <w:rFonts w:ascii="Myriad Pro" w:hAnsi="Myriad Pro"/>
                                <w:sz w:val="22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2"/>
                              </w:rPr>
                              <w:t>Revenue from earned income is the largest source of income for nonprofit arts organizations</w:t>
                            </w:r>
                            <w:r w:rsidRPr="00951505">
                              <w:rPr>
                                <w:rFonts w:ascii="Myriad Pro" w:hAnsi="Myriad Pro"/>
                                <w:sz w:val="22"/>
                              </w:rPr>
                              <w:t>.</w:t>
                            </w:r>
                            <w:r w:rsidR="0015649A">
                              <w:rPr>
                                <w:rFonts w:ascii="Myriad Pro" w:hAnsi="Myriad Pro"/>
                                <w:sz w:val="22"/>
                              </w:rPr>
                              <w:t xml:space="preserve"> </w:t>
                            </w:r>
                            <w:r w:rsidRPr="00951505">
                              <w:rPr>
                                <w:rFonts w:ascii="Myriad Pro" w:hAnsi="Myriad Pro"/>
                                <w:sz w:val="22"/>
                              </w:rPr>
                              <w:t>The remainder must be raised through contributions and grants.</w:t>
                            </w:r>
                            <w:r w:rsidR="0015649A">
                              <w:rPr>
                                <w:rFonts w:ascii="Myriad Pro" w:hAnsi="Myriad Pro"/>
                                <w:sz w:val="22"/>
                              </w:rPr>
                              <w:t xml:space="preserve"> </w:t>
                            </w:r>
                            <w:r w:rsidRPr="00951505">
                              <w:rPr>
                                <w:rFonts w:ascii="Myriad Pro" w:hAnsi="Myriad Pro"/>
                                <w:sz w:val="22"/>
                              </w:rPr>
                              <w:t>Even small fluctuations in contributed revenue can mean deficits for many organizations.</w:t>
                            </w:r>
                          </w:p>
                          <w:p w14:paraId="732942D3" w14:textId="77777777" w:rsidR="00B31B6B" w:rsidRDefault="00B31B6B">
                            <w:pPr>
                              <w:spacing w:line="28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F68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85pt;margin-top:-60.45pt;width:265.5pt;height:9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" strokeweight=".5pt">
                <v:textbox>
                  <w:txbxContent>
                    <w:p w14:paraId="17555954" w14:textId="77777777" w:rsidR="00B31B6B" w:rsidRPr="00951505" w:rsidRDefault="00B31B6B">
                      <w:pPr>
                        <w:pStyle w:val="Heading1"/>
                        <w:rPr>
                          <w:rFonts w:ascii="Myriad Pro" w:hAnsi="Myriad Pro"/>
                          <w:sz w:val="22"/>
                        </w:rPr>
                      </w:pPr>
                      <w:r w:rsidRPr="00951505">
                        <w:rPr>
                          <w:rFonts w:ascii="Myriad Pro" w:hAnsi="Myriad Pro"/>
                          <w:sz w:val="22"/>
                        </w:rPr>
                        <w:t>Arts Facts . . . Arts Organization Revenues</w:t>
                      </w:r>
                    </w:p>
                    <w:p w14:paraId="4050B47F" w14:textId="7ADF4A6F" w:rsidR="00B31B6B" w:rsidRPr="00951505" w:rsidRDefault="00B31B6B">
                      <w:pPr>
                        <w:spacing w:line="280" w:lineRule="atLeast"/>
                        <w:rPr>
                          <w:rFonts w:ascii="Myriad Pro" w:hAnsi="Myriad Pro"/>
                          <w:sz w:val="22"/>
                        </w:rPr>
                      </w:pPr>
                      <w:r>
                        <w:rPr>
                          <w:rFonts w:ascii="Myriad Pro" w:hAnsi="Myriad Pro"/>
                          <w:sz w:val="22"/>
                        </w:rPr>
                        <w:t>Revenue from earned income is the largest source of income for nonprofit arts organizations</w:t>
                      </w:r>
                      <w:r w:rsidRPr="00951505">
                        <w:rPr>
                          <w:rFonts w:ascii="Myriad Pro" w:hAnsi="Myriad Pro"/>
                          <w:sz w:val="22"/>
                        </w:rPr>
                        <w:t>.</w:t>
                      </w:r>
                      <w:r w:rsidR="0015649A">
                        <w:rPr>
                          <w:rFonts w:ascii="Myriad Pro" w:hAnsi="Myriad Pro"/>
                          <w:sz w:val="22"/>
                        </w:rPr>
                        <w:t xml:space="preserve"> </w:t>
                      </w:r>
                      <w:r w:rsidRPr="00951505">
                        <w:rPr>
                          <w:rFonts w:ascii="Myriad Pro" w:hAnsi="Myriad Pro"/>
                          <w:sz w:val="22"/>
                        </w:rPr>
                        <w:t>The remainder must be raised through contributions and grants.</w:t>
                      </w:r>
                      <w:r w:rsidR="0015649A">
                        <w:rPr>
                          <w:rFonts w:ascii="Myriad Pro" w:hAnsi="Myriad Pro"/>
                          <w:sz w:val="22"/>
                        </w:rPr>
                        <w:t xml:space="preserve"> </w:t>
                      </w:r>
                      <w:r w:rsidRPr="00951505">
                        <w:rPr>
                          <w:rFonts w:ascii="Myriad Pro" w:hAnsi="Myriad Pro"/>
                          <w:sz w:val="22"/>
                        </w:rPr>
                        <w:t>Even small fluctuations in contributed revenue can mean deficits for many organizations.</w:t>
                      </w:r>
                    </w:p>
                    <w:p w14:paraId="732942D3" w14:textId="77777777" w:rsidR="00B31B6B" w:rsidRDefault="00B31B6B">
                      <w:pPr>
                        <w:spacing w:line="28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14:paraId="53C93F39" w14:textId="75794C3D" w:rsidR="00457AE1" w:rsidRDefault="00457AE1" w:rsidP="00490C9A">
      <w:pPr>
        <w:jc w:val="center"/>
      </w:pPr>
    </w:p>
    <w:p w14:paraId="2460D8DE" w14:textId="77777777" w:rsidR="00A15477" w:rsidRDefault="00A15477" w:rsidP="00A15477">
      <w:pPr>
        <w:jc w:val="center"/>
      </w:pPr>
    </w:p>
    <w:p w14:paraId="6A8B6285" w14:textId="30AAD2AC" w:rsidR="00457AE1" w:rsidRDefault="007E0F88" w:rsidP="00A15477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F5809F" wp14:editId="1D79695C">
                <wp:simplePos x="0" y="0"/>
                <wp:positionH relativeFrom="margin">
                  <wp:posOffset>361950</wp:posOffset>
                </wp:positionH>
                <wp:positionV relativeFrom="paragraph">
                  <wp:posOffset>4111430</wp:posOffset>
                </wp:positionV>
                <wp:extent cx="6473190" cy="3876675"/>
                <wp:effectExtent l="0" t="0" r="2286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0A99B" w14:textId="506D9E62" w:rsidR="00F730EB" w:rsidRDefault="00F730EB" w:rsidP="00F730EB">
                            <w:pPr>
                              <w:spacing w:line="280" w:lineRule="atLeast"/>
                              <w:rPr>
                                <w:rFonts w:ascii="Myriad Pro" w:hAnsi="Myriad Pro"/>
                                <w:sz w:val="22"/>
                              </w:rPr>
                            </w:pPr>
                            <w:r w:rsidRPr="009749B2">
                              <w:rPr>
                                <w:rFonts w:ascii="Myriad Pro" w:hAnsi="Myriad Pro"/>
                                <w:sz w:val="22"/>
                              </w:rPr>
                              <w:t xml:space="preserve">Support for the nonprofit arts is a mosaic of funding sources—a delicate 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</w:rPr>
                              <w:t xml:space="preserve">60-30-10 </w:t>
                            </w:r>
                            <w:r w:rsidRPr="009749B2">
                              <w:rPr>
                                <w:rFonts w:ascii="Myriad Pro" w:hAnsi="Myriad Pro"/>
                                <w:sz w:val="22"/>
                              </w:rPr>
                              <w:t>balance of earned revenue, private sector contributions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</w:rPr>
                              <w:t>, and government support</w:t>
                            </w:r>
                            <w:r w:rsidRPr="009749B2">
                              <w:rPr>
                                <w:rFonts w:ascii="Myriad Pro" w:hAnsi="Myriad Pro"/>
                                <w:sz w:val="22"/>
                              </w:rPr>
                              <w:t xml:space="preserve">. The chart above provides a snapshot of the revenue picture for a 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</w:rPr>
                              <w:t xml:space="preserve">typical </w:t>
                            </w:r>
                            <w:r w:rsidRPr="009749B2">
                              <w:rPr>
                                <w:rFonts w:ascii="Myriad Pro" w:hAnsi="Myriad Pro"/>
                                <w:sz w:val="22"/>
                              </w:rPr>
                              <w:t xml:space="preserve">nonprofit arts 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</w:rPr>
                              <w:t xml:space="preserve">and cultural </w:t>
                            </w:r>
                            <w:r w:rsidRPr="009749B2">
                              <w:rPr>
                                <w:rFonts w:ascii="Myriad Pro" w:hAnsi="Myriad Pro"/>
                                <w:sz w:val="22"/>
                              </w:rPr>
                              <w:t>organization in the U.S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</w:rPr>
                              <w:t xml:space="preserve">. Considering that there are </w:t>
                            </w:r>
                            <w:r w:rsidR="00E63733">
                              <w:rPr>
                                <w:rFonts w:ascii="Myriad Pro" w:hAnsi="Myriad Pro"/>
                                <w:sz w:val="22"/>
                              </w:rPr>
                              <w:t xml:space="preserve">approximately 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</w:rPr>
                              <w:t>1</w:t>
                            </w:r>
                            <w:r w:rsidR="00E63733">
                              <w:rPr>
                                <w:rFonts w:ascii="Myriad Pro" w:hAnsi="Myriad Pro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</w:rPr>
                              <w:t xml:space="preserve">0,000 such organizations, including public sector ones, the revenue picture for individual organizations can vary widely. </w:t>
                            </w:r>
                            <w:r w:rsidR="00A15477" w:rsidRPr="00E63733">
                              <w:rPr>
                                <w:rFonts w:ascii="Myriad Pro" w:hAnsi="Myriad Pro"/>
                                <w:sz w:val="22"/>
                                <w:u w:val="single"/>
                              </w:rPr>
                              <w:t>These estimates are pre-COVID19 pandemic</w:t>
                            </w:r>
                            <w:r w:rsidR="00A15477">
                              <w:rPr>
                                <w:rFonts w:ascii="Myriad Pro" w:hAnsi="Myriad Pro"/>
                                <w:sz w:val="22"/>
                              </w:rPr>
                              <w:t xml:space="preserve">. </w:t>
                            </w:r>
                          </w:p>
                          <w:p w14:paraId="56B75ED9" w14:textId="77777777" w:rsidR="00F730EB" w:rsidRDefault="00F730EB" w:rsidP="00F730EB">
                            <w:pPr>
                              <w:spacing w:line="280" w:lineRule="atLeast"/>
                              <w:rPr>
                                <w:rFonts w:ascii="Myriad Pro" w:hAnsi="Myriad Pro"/>
                                <w:sz w:val="22"/>
                              </w:rPr>
                            </w:pPr>
                          </w:p>
                          <w:p w14:paraId="53BE85DE" w14:textId="5DD9E166" w:rsidR="00F730EB" w:rsidRPr="009749B2" w:rsidRDefault="00F730EB" w:rsidP="00F730E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spacing w:line="280" w:lineRule="atLeast"/>
                              <w:ind w:left="540"/>
                              <w:rPr>
                                <w:rFonts w:ascii="Myriad Pro" w:hAnsi="Myriad Pro"/>
                                <w:sz w:val="22"/>
                              </w:rPr>
                            </w:pPr>
                            <w:r w:rsidRPr="00DD2117">
                              <w:rPr>
                                <w:rFonts w:ascii="Myriad Pro" w:hAnsi="Myriad Pro"/>
                                <w:sz w:val="22"/>
                                <w:u w:val="single"/>
                              </w:rPr>
                              <w:t>Earned income</w:t>
                            </w:r>
                            <w:r w:rsidRPr="009749B2">
                              <w:rPr>
                                <w:rFonts w:ascii="Myriad Pro" w:hAnsi="Myriad Pro"/>
                                <w:sz w:val="22"/>
                              </w:rPr>
                              <w:t xml:space="preserve"> </w:t>
                            </w:r>
                            <w:r w:rsidR="00E63733">
                              <w:rPr>
                                <w:rFonts w:ascii="Myriad Pro" w:hAnsi="Myriad Pro"/>
                                <w:sz w:val="22"/>
                              </w:rPr>
                              <w:t xml:space="preserve">(60%) </w:t>
                            </w:r>
                            <w:r w:rsidRPr="009749B2">
                              <w:rPr>
                                <w:rFonts w:ascii="Myriad Pro" w:hAnsi="Myriad Pro"/>
                                <w:sz w:val="22"/>
                              </w:rPr>
                              <w:t xml:space="preserve">represents 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</w:rPr>
                              <w:t xml:space="preserve">a little over </w:t>
                            </w:r>
                            <w:r w:rsidRPr="009749B2">
                              <w:rPr>
                                <w:rFonts w:ascii="Myriad Pro" w:hAnsi="Myriad Pro"/>
                                <w:sz w:val="22"/>
                              </w:rPr>
                              <w:t xml:space="preserve">half of the 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</w:rPr>
                              <w:t>total revenue</w:t>
                            </w:r>
                            <w:r w:rsidRPr="009749B2">
                              <w:rPr>
                                <w:rFonts w:ascii="Myriad Pro" w:hAnsi="Myriad Pro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</w:rPr>
                              <w:t xml:space="preserve">pie and includes </w:t>
                            </w:r>
                            <w:r w:rsidRPr="009749B2">
                              <w:rPr>
                                <w:rFonts w:ascii="Myriad Pro" w:hAnsi="Myriad Pro"/>
                                <w:sz w:val="22"/>
                              </w:rPr>
                              <w:t>ticket sales, sponsorships, fundraising events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</w:rPr>
                              <w:t>, and investment and endowment income.</w:t>
                            </w:r>
                          </w:p>
                          <w:p w14:paraId="4F228A16" w14:textId="77777777" w:rsidR="00F730EB" w:rsidRDefault="00F730EB" w:rsidP="00F730EB">
                            <w:pPr>
                              <w:spacing w:line="280" w:lineRule="atLeast"/>
                              <w:rPr>
                                <w:rFonts w:ascii="Myriad Pro" w:hAnsi="Myriad Pro"/>
                                <w:sz w:val="22"/>
                              </w:rPr>
                            </w:pPr>
                          </w:p>
                          <w:p w14:paraId="7B18522B" w14:textId="7B8F487F" w:rsidR="00F730EB" w:rsidRPr="009749B2" w:rsidRDefault="00F730EB" w:rsidP="00F730E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spacing w:line="280" w:lineRule="atLeast"/>
                              <w:ind w:left="540"/>
                              <w:rPr>
                                <w:rFonts w:ascii="Myriad Pro" w:hAnsi="Myriad Pro"/>
                                <w:sz w:val="22"/>
                              </w:rPr>
                            </w:pPr>
                            <w:r w:rsidRPr="00DD2117">
                              <w:rPr>
                                <w:rFonts w:ascii="Myriad Pro" w:hAnsi="Myriad Pro"/>
                                <w:sz w:val="22"/>
                                <w:u w:val="single"/>
                              </w:rPr>
                              <w:t>Private sector</w:t>
                            </w:r>
                            <w:r w:rsidRPr="009749B2">
                              <w:rPr>
                                <w:rFonts w:ascii="Myriad Pro" w:hAnsi="Myriad Pro"/>
                                <w:sz w:val="22"/>
                              </w:rPr>
                              <w:t xml:space="preserve"> </w:t>
                            </w:r>
                            <w:r w:rsidR="00E63733">
                              <w:rPr>
                                <w:rFonts w:ascii="Myriad Pro" w:hAnsi="Myriad Pro"/>
                                <w:sz w:val="22"/>
                              </w:rPr>
                              <w:t xml:space="preserve">(30%) 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</w:rPr>
                              <w:t>contributions</w:t>
                            </w:r>
                            <w:r w:rsidRPr="009749B2">
                              <w:rPr>
                                <w:rFonts w:ascii="Myriad Pro" w:hAnsi="Myriad Pro"/>
                                <w:sz w:val="22"/>
                              </w:rPr>
                              <w:t xml:space="preserve"> (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</w:rPr>
                              <w:t xml:space="preserve">individual, foundation, and </w:t>
                            </w:r>
                            <w:r w:rsidRPr="009749B2">
                              <w:rPr>
                                <w:rFonts w:ascii="Myriad Pro" w:hAnsi="Myriad Pro"/>
                                <w:sz w:val="22"/>
                              </w:rPr>
                              <w:t>corporate giving)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</w:rPr>
                              <w:t xml:space="preserve"> are </w:t>
                            </w:r>
                            <w:r w:rsidRPr="009749B2">
                              <w:rPr>
                                <w:rFonts w:ascii="Myriad Pro" w:hAnsi="Myriad Pro"/>
                                <w:sz w:val="22"/>
                              </w:rPr>
                              <w:t xml:space="preserve">the 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</w:rPr>
                              <w:t xml:space="preserve">second </w:t>
                            </w:r>
                            <w:r w:rsidRPr="009749B2">
                              <w:rPr>
                                <w:rFonts w:ascii="Myriad Pro" w:hAnsi="Myriad Pro"/>
                                <w:sz w:val="22"/>
                              </w:rPr>
                              <w:t>largest portion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</w:rPr>
                              <w:t xml:space="preserve"> of the revenue pie. </w:t>
                            </w:r>
                            <w:r w:rsidR="007E0F88">
                              <w:rPr>
                                <w:rFonts w:ascii="Myriad Pro" w:hAnsi="Myriad Pro"/>
                                <w:sz w:val="22"/>
                              </w:rPr>
                              <w:t>T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</w:rPr>
                              <w:t xml:space="preserve">he largest segment </w:t>
                            </w:r>
                            <w:r w:rsidR="007E0F88">
                              <w:rPr>
                                <w:rFonts w:ascii="Myriad Pro" w:hAnsi="Myriad Pro"/>
                                <w:sz w:val="22"/>
                              </w:rPr>
                              <w:t xml:space="preserve">is comprised 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</w:rPr>
                              <w:t xml:space="preserve">of </w:t>
                            </w:r>
                            <w:r w:rsidR="007E0F88">
                              <w:rPr>
                                <w:rFonts w:ascii="Myriad Pro" w:hAnsi="Myriad Pro"/>
                                <w:sz w:val="22"/>
                              </w:rPr>
                              <w:t>individuals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</w:rPr>
                              <w:t xml:space="preserve">. </w:t>
                            </w:r>
                          </w:p>
                          <w:p w14:paraId="6F153634" w14:textId="77777777" w:rsidR="00F730EB" w:rsidRDefault="00F730EB" w:rsidP="00F730EB">
                            <w:pPr>
                              <w:spacing w:line="280" w:lineRule="atLeast"/>
                              <w:rPr>
                                <w:rFonts w:ascii="Myriad Pro" w:hAnsi="Myriad Pro"/>
                                <w:sz w:val="22"/>
                              </w:rPr>
                            </w:pPr>
                          </w:p>
                          <w:p w14:paraId="1BCD4907" w14:textId="3E6DA69C" w:rsidR="00F730EB" w:rsidRDefault="00F730EB" w:rsidP="00F730E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spacing w:line="280" w:lineRule="atLeast"/>
                              <w:ind w:left="540"/>
                              <w:rPr>
                                <w:rFonts w:ascii="Myriad Pro" w:hAnsi="Myriad Pro"/>
                                <w:sz w:val="22"/>
                              </w:rPr>
                            </w:pPr>
                            <w:r w:rsidRPr="00DD2117">
                              <w:rPr>
                                <w:rFonts w:ascii="Myriad Pro" w:hAnsi="Myriad Pro"/>
                                <w:sz w:val="22"/>
                                <w:u w:val="single"/>
                              </w:rPr>
                              <w:t>Government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</w:rPr>
                              <w:t xml:space="preserve"> funding</w:t>
                            </w:r>
                            <w:r w:rsidR="00E63733">
                              <w:rPr>
                                <w:rFonts w:ascii="Myriad Pro" w:hAnsi="Myriad Pro"/>
                                <w:sz w:val="22"/>
                              </w:rPr>
                              <w:t xml:space="preserve"> (10%)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</w:rPr>
                              <w:t>—local, state, and federal—is the smallest of the three revenue categories, yet is a vital lever in generating private sector contributions</w:t>
                            </w:r>
                            <w:r w:rsidRPr="009749B2">
                              <w:rPr>
                                <w:rFonts w:ascii="Myriad Pro" w:hAnsi="Myriad Pro"/>
                                <w:sz w:val="22"/>
                              </w:rPr>
                              <w:t>. Note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</w:rPr>
                              <w:t xml:space="preserve"> that total </w:t>
                            </w:r>
                            <w:r w:rsidRPr="009749B2">
                              <w:rPr>
                                <w:rFonts w:ascii="Myriad Pro" w:hAnsi="Myriad Pro"/>
                                <w:sz w:val="22"/>
                              </w:rPr>
                              <w:t xml:space="preserve">federal arts support 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</w:rPr>
                              <w:t xml:space="preserve">is not limited to the </w:t>
                            </w:r>
                            <w:r w:rsidRPr="009749B2">
                              <w:rPr>
                                <w:rFonts w:ascii="Myriad Pro" w:hAnsi="Myriad Pro"/>
                                <w:sz w:val="22"/>
                              </w:rPr>
                              <w:t>N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</w:rPr>
                              <w:t xml:space="preserve">ational Endowment for the Arts. It also includes the </w:t>
                            </w:r>
                            <w:r w:rsidRPr="009749B2">
                              <w:rPr>
                                <w:rFonts w:ascii="Myriad Pro" w:hAnsi="Myriad Pro"/>
                                <w:sz w:val="22"/>
                              </w:rPr>
                              <w:t>Kennedy Center, Smithsonian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</w:rPr>
                              <w:t xml:space="preserve"> Institution</w:t>
                            </w:r>
                            <w:r w:rsidRPr="009749B2">
                              <w:rPr>
                                <w:rFonts w:ascii="Myriad Pro" w:hAnsi="Myriad Pro"/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</w:rPr>
                              <w:t xml:space="preserve">Corporation for Public Broadcasting, </w:t>
                            </w:r>
                            <w:r w:rsidRPr="009749B2">
                              <w:rPr>
                                <w:rFonts w:ascii="Myriad Pro" w:hAnsi="Myriad Pro"/>
                                <w:sz w:val="22"/>
                              </w:rPr>
                              <w:t xml:space="preserve">and 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</w:rPr>
                              <w:t xml:space="preserve">even </w:t>
                            </w:r>
                            <w:r w:rsidR="007E0F88">
                              <w:rPr>
                                <w:rFonts w:ascii="Myriad Pro" w:hAnsi="Myriad Pro"/>
                                <w:sz w:val="22"/>
                              </w:rPr>
                              <w:t xml:space="preserve">arts programming within the agencies such 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</w:rPr>
                              <w:t>as the U.S. Departments of Justice and Education</w:t>
                            </w:r>
                            <w:r w:rsidR="007E0F88">
                              <w:rPr>
                                <w:rFonts w:ascii="Myriad Pro" w:hAnsi="Myriad Pro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</w:rPr>
                              <w:t xml:space="preserve"> Local and state governments have similarly diverse sources of arts funding.</w:t>
                            </w:r>
                          </w:p>
                          <w:p w14:paraId="2D7746D2" w14:textId="77777777" w:rsidR="00F730EB" w:rsidRDefault="00F730EB" w:rsidP="00F730EB">
                            <w:pPr>
                              <w:spacing w:line="280" w:lineRule="atLeast"/>
                              <w:rPr>
                                <w:rFonts w:ascii="Myriad Pro" w:hAnsi="Myriad Pro"/>
                                <w:sz w:val="22"/>
                              </w:rPr>
                            </w:pPr>
                          </w:p>
                          <w:p w14:paraId="53E49F62" w14:textId="49681782" w:rsidR="00F730EB" w:rsidRPr="009749B2" w:rsidRDefault="00F730EB" w:rsidP="00F730EB">
                            <w:pPr>
                              <w:spacing w:line="280" w:lineRule="atLeast"/>
                              <w:rPr>
                                <w:rFonts w:ascii="Myriad Pro" w:hAnsi="Myriad Pro"/>
                              </w:rPr>
                            </w:pPr>
                            <w:r w:rsidRPr="009749B2">
                              <w:rPr>
                                <w:rFonts w:ascii="Myriad Pro" w:hAnsi="Myriad Pro"/>
                                <w:sz w:val="18"/>
                              </w:rPr>
                              <w:t>Sou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</w:rPr>
                              <w:t>rce: Estimate by Americans for the Arts based on analyses of federal and industry association data.  20</w:t>
                            </w:r>
                            <w:r w:rsidR="00E63733">
                              <w:rPr>
                                <w:rFonts w:ascii="Myriad Pro" w:hAnsi="Myriad Pro"/>
                                <w:sz w:val="18"/>
                              </w:rPr>
                              <w:t>20</w:t>
                            </w:r>
                            <w:r w:rsidRPr="009749B2">
                              <w:rPr>
                                <w:rFonts w:ascii="Myriad Pro" w:hAnsi="Myriad Pro"/>
                                <w:sz w:val="18"/>
                              </w:rPr>
                              <w:t>.</w:t>
                            </w:r>
                          </w:p>
                          <w:p w14:paraId="04C35C2E" w14:textId="77777777" w:rsidR="00F730EB" w:rsidRDefault="00F730EB" w:rsidP="00F730EB">
                            <w:pPr>
                              <w:spacing w:line="28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55B40190" w14:textId="77777777" w:rsidR="00F730EB" w:rsidRDefault="00F730EB" w:rsidP="00F730EB"/>
                          <w:p w14:paraId="131D1E92" w14:textId="77777777" w:rsidR="00B31B6B" w:rsidRDefault="00B31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580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8.5pt;margin-top:323.75pt;width:509.7pt;height:305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" strokeweight=".5pt">
                <v:textbox>
                  <w:txbxContent>
                    <w:p w14:paraId="0740A99B" w14:textId="506D9E62" w:rsidR="00F730EB" w:rsidRDefault="00F730EB" w:rsidP="00F730EB">
                      <w:pPr>
                        <w:spacing w:line="280" w:lineRule="atLeast"/>
                        <w:rPr>
                          <w:rFonts w:ascii="Myriad Pro" w:hAnsi="Myriad Pro"/>
                          <w:sz w:val="22"/>
                        </w:rPr>
                      </w:pPr>
                      <w:r w:rsidRPr="009749B2">
                        <w:rPr>
                          <w:rFonts w:ascii="Myriad Pro" w:hAnsi="Myriad Pro"/>
                          <w:sz w:val="22"/>
                        </w:rPr>
                        <w:t xml:space="preserve">Support for the nonprofit arts is a mosaic of funding sources—a delicate </w:t>
                      </w:r>
                      <w:r>
                        <w:rPr>
                          <w:rFonts w:ascii="Myriad Pro" w:hAnsi="Myriad Pro"/>
                          <w:sz w:val="22"/>
                        </w:rPr>
                        <w:t xml:space="preserve">60-30-10 </w:t>
                      </w:r>
                      <w:r w:rsidRPr="009749B2">
                        <w:rPr>
                          <w:rFonts w:ascii="Myriad Pro" w:hAnsi="Myriad Pro"/>
                          <w:sz w:val="22"/>
                        </w:rPr>
                        <w:t>balance of earned revenue, private sector contributions</w:t>
                      </w:r>
                      <w:r>
                        <w:rPr>
                          <w:rFonts w:ascii="Myriad Pro" w:hAnsi="Myriad Pro"/>
                          <w:sz w:val="22"/>
                        </w:rPr>
                        <w:t>, and government support</w:t>
                      </w:r>
                      <w:r w:rsidRPr="009749B2">
                        <w:rPr>
                          <w:rFonts w:ascii="Myriad Pro" w:hAnsi="Myriad Pro"/>
                          <w:sz w:val="22"/>
                        </w:rPr>
                        <w:t xml:space="preserve">. The chart above provides a snapshot of the revenue picture for a </w:t>
                      </w:r>
                      <w:r>
                        <w:rPr>
                          <w:rFonts w:ascii="Myriad Pro" w:hAnsi="Myriad Pro"/>
                          <w:sz w:val="22"/>
                        </w:rPr>
                        <w:t xml:space="preserve">typical </w:t>
                      </w:r>
                      <w:r w:rsidRPr="009749B2">
                        <w:rPr>
                          <w:rFonts w:ascii="Myriad Pro" w:hAnsi="Myriad Pro"/>
                          <w:sz w:val="22"/>
                        </w:rPr>
                        <w:t xml:space="preserve">nonprofit arts </w:t>
                      </w:r>
                      <w:r>
                        <w:rPr>
                          <w:rFonts w:ascii="Myriad Pro" w:hAnsi="Myriad Pro"/>
                          <w:sz w:val="22"/>
                        </w:rPr>
                        <w:t xml:space="preserve">and cultural </w:t>
                      </w:r>
                      <w:r w:rsidRPr="009749B2">
                        <w:rPr>
                          <w:rFonts w:ascii="Myriad Pro" w:hAnsi="Myriad Pro"/>
                          <w:sz w:val="22"/>
                        </w:rPr>
                        <w:t>organization in the U.S</w:t>
                      </w:r>
                      <w:r>
                        <w:rPr>
                          <w:rFonts w:ascii="Myriad Pro" w:hAnsi="Myriad Pro"/>
                          <w:sz w:val="22"/>
                        </w:rPr>
                        <w:t xml:space="preserve">. Considering that there are </w:t>
                      </w:r>
                      <w:r w:rsidR="00E63733">
                        <w:rPr>
                          <w:rFonts w:ascii="Myriad Pro" w:hAnsi="Myriad Pro"/>
                          <w:sz w:val="22"/>
                        </w:rPr>
                        <w:t xml:space="preserve">approximately </w:t>
                      </w:r>
                      <w:r>
                        <w:rPr>
                          <w:rFonts w:ascii="Myriad Pro" w:hAnsi="Myriad Pro"/>
                          <w:sz w:val="22"/>
                        </w:rPr>
                        <w:t>1</w:t>
                      </w:r>
                      <w:r w:rsidR="00E63733">
                        <w:rPr>
                          <w:rFonts w:ascii="Myriad Pro" w:hAnsi="Myriad Pro"/>
                          <w:sz w:val="22"/>
                        </w:rPr>
                        <w:t>2</w:t>
                      </w:r>
                      <w:r>
                        <w:rPr>
                          <w:rFonts w:ascii="Myriad Pro" w:hAnsi="Myriad Pro"/>
                          <w:sz w:val="22"/>
                        </w:rPr>
                        <w:t xml:space="preserve">0,000 such organizations, including public sector ones, the revenue picture for individual organizations can vary widely. </w:t>
                      </w:r>
                      <w:r w:rsidR="00A15477" w:rsidRPr="00E63733">
                        <w:rPr>
                          <w:rFonts w:ascii="Myriad Pro" w:hAnsi="Myriad Pro"/>
                          <w:sz w:val="22"/>
                          <w:u w:val="single"/>
                        </w:rPr>
                        <w:t>These estimates are pre-COVID19 pandemic</w:t>
                      </w:r>
                      <w:r w:rsidR="00A15477">
                        <w:rPr>
                          <w:rFonts w:ascii="Myriad Pro" w:hAnsi="Myriad Pro"/>
                          <w:sz w:val="22"/>
                        </w:rPr>
                        <w:t xml:space="preserve">. </w:t>
                      </w:r>
                    </w:p>
                    <w:p w14:paraId="56B75ED9" w14:textId="77777777" w:rsidR="00F730EB" w:rsidRDefault="00F730EB" w:rsidP="00F730EB">
                      <w:pPr>
                        <w:spacing w:line="280" w:lineRule="atLeast"/>
                        <w:rPr>
                          <w:rFonts w:ascii="Myriad Pro" w:hAnsi="Myriad Pro"/>
                          <w:sz w:val="22"/>
                        </w:rPr>
                      </w:pPr>
                    </w:p>
                    <w:p w14:paraId="53BE85DE" w14:textId="5DD9E166" w:rsidR="00F730EB" w:rsidRPr="009749B2" w:rsidRDefault="00F730EB" w:rsidP="00F730EB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spacing w:line="280" w:lineRule="atLeast"/>
                        <w:ind w:left="540"/>
                        <w:rPr>
                          <w:rFonts w:ascii="Myriad Pro" w:hAnsi="Myriad Pro"/>
                          <w:sz w:val="22"/>
                        </w:rPr>
                      </w:pPr>
                      <w:r w:rsidRPr="00DD2117">
                        <w:rPr>
                          <w:rFonts w:ascii="Myriad Pro" w:hAnsi="Myriad Pro"/>
                          <w:sz w:val="22"/>
                          <w:u w:val="single"/>
                        </w:rPr>
                        <w:t>Earned income</w:t>
                      </w:r>
                      <w:r w:rsidRPr="009749B2">
                        <w:rPr>
                          <w:rFonts w:ascii="Myriad Pro" w:hAnsi="Myriad Pro"/>
                          <w:sz w:val="22"/>
                        </w:rPr>
                        <w:t xml:space="preserve"> </w:t>
                      </w:r>
                      <w:r w:rsidR="00E63733">
                        <w:rPr>
                          <w:rFonts w:ascii="Myriad Pro" w:hAnsi="Myriad Pro"/>
                          <w:sz w:val="22"/>
                        </w:rPr>
                        <w:t xml:space="preserve">(60%) </w:t>
                      </w:r>
                      <w:r w:rsidRPr="009749B2">
                        <w:rPr>
                          <w:rFonts w:ascii="Myriad Pro" w:hAnsi="Myriad Pro"/>
                          <w:sz w:val="22"/>
                        </w:rPr>
                        <w:t xml:space="preserve">represents </w:t>
                      </w:r>
                      <w:r>
                        <w:rPr>
                          <w:rFonts w:ascii="Myriad Pro" w:hAnsi="Myriad Pro"/>
                          <w:sz w:val="22"/>
                        </w:rPr>
                        <w:t xml:space="preserve">a little over </w:t>
                      </w:r>
                      <w:r w:rsidRPr="009749B2">
                        <w:rPr>
                          <w:rFonts w:ascii="Myriad Pro" w:hAnsi="Myriad Pro"/>
                          <w:sz w:val="22"/>
                        </w:rPr>
                        <w:t xml:space="preserve">half of the </w:t>
                      </w:r>
                      <w:r>
                        <w:rPr>
                          <w:rFonts w:ascii="Myriad Pro" w:hAnsi="Myriad Pro"/>
                          <w:sz w:val="22"/>
                        </w:rPr>
                        <w:t>total revenue</w:t>
                      </w:r>
                      <w:r w:rsidRPr="009749B2">
                        <w:rPr>
                          <w:rFonts w:ascii="Myriad Pro" w:hAnsi="Myriad Pro"/>
                          <w:sz w:val="22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22"/>
                        </w:rPr>
                        <w:t xml:space="preserve">pie and includes </w:t>
                      </w:r>
                      <w:r w:rsidRPr="009749B2">
                        <w:rPr>
                          <w:rFonts w:ascii="Myriad Pro" w:hAnsi="Myriad Pro"/>
                          <w:sz w:val="22"/>
                        </w:rPr>
                        <w:t>ticket sales, sponsorships, fundraising events</w:t>
                      </w:r>
                      <w:r>
                        <w:rPr>
                          <w:rFonts w:ascii="Myriad Pro" w:hAnsi="Myriad Pro"/>
                          <w:sz w:val="22"/>
                        </w:rPr>
                        <w:t>, and investment and endowment income.</w:t>
                      </w:r>
                    </w:p>
                    <w:p w14:paraId="4F228A16" w14:textId="77777777" w:rsidR="00F730EB" w:rsidRDefault="00F730EB" w:rsidP="00F730EB">
                      <w:pPr>
                        <w:spacing w:line="280" w:lineRule="atLeast"/>
                        <w:rPr>
                          <w:rFonts w:ascii="Myriad Pro" w:hAnsi="Myriad Pro"/>
                          <w:sz w:val="22"/>
                        </w:rPr>
                      </w:pPr>
                    </w:p>
                    <w:p w14:paraId="7B18522B" w14:textId="7B8F487F" w:rsidR="00F730EB" w:rsidRPr="009749B2" w:rsidRDefault="00F730EB" w:rsidP="00F730EB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spacing w:line="280" w:lineRule="atLeast"/>
                        <w:ind w:left="540"/>
                        <w:rPr>
                          <w:rFonts w:ascii="Myriad Pro" w:hAnsi="Myriad Pro"/>
                          <w:sz w:val="22"/>
                        </w:rPr>
                      </w:pPr>
                      <w:r w:rsidRPr="00DD2117">
                        <w:rPr>
                          <w:rFonts w:ascii="Myriad Pro" w:hAnsi="Myriad Pro"/>
                          <w:sz w:val="22"/>
                          <w:u w:val="single"/>
                        </w:rPr>
                        <w:t>Private sector</w:t>
                      </w:r>
                      <w:r w:rsidRPr="009749B2">
                        <w:rPr>
                          <w:rFonts w:ascii="Myriad Pro" w:hAnsi="Myriad Pro"/>
                          <w:sz w:val="22"/>
                        </w:rPr>
                        <w:t xml:space="preserve"> </w:t>
                      </w:r>
                      <w:r w:rsidR="00E63733">
                        <w:rPr>
                          <w:rFonts w:ascii="Myriad Pro" w:hAnsi="Myriad Pro"/>
                          <w:sz w:val="22"/>
                        </w:rPr>
                        <w:t xml:space="preserve">(30%) </w:t>
                      </w:r>
                      <w:r>
                        <w:rPr>
                          <w:rFonts w:ascii="Myriad Pro" w:hAnsi="Myriad Pro"/>
                          <w:sz w:val="22"/>
                        </w:rPr>
                        <w:t>contributions</w:t>
                      </w:r>
                      <w:r w:rsidRPr="009749B2">
                        <w:rPr>
                          <w:rFonts w:ascii="Myriad Pro" w:hAnsi="Myriad Pro"/>
                          <w:sz w:val="22"/>
                        </w:rPr>
                        <w:t xml:space="preserve"> (</w:t>
                      </w:r>
                      <w:r>
                        <w:rPr>
                          <w:rFonts w:ascii="Myriad Pro" w:hAnsi="Myriad Pro"/>
                          <w:sz w:val="22"/>
                        </w:rPr>
                        <w:t xml:space="preserve">individual, foundation, and </w:t>
                      </w:r>
                      <w:r w:rsidRPr="009749B2">
                        <w:rPr>
                          <w:rFonts w:ascii="Myriad Pro" w:hAnsi="Myriad Pro"/>
                          <w:sz w:val="22"/>
                        </w:rPr>
                        <w:t>corporate giving)</w:t>
                      </w:r>
                      <w:r>
                        <w:rPr>
                          <w:rFonts w:ascii="Myriad Pro" w:hAnsi="Myriad Pro"/>
                          <w:sz w:val="22"/>
                        </w:rPr>
                        <w:t xml:space="preserve"> are </w:t>
                      </w:r>
                      <w:r w:rsidRPr="009749B2">
                        <w:rPr>
                          <w:rFonts w:ascii="Myriad Pro" w:hAnsi="Myriad Pro"/>
                          <w:sz w:val="22"/>
                        </w:rPr>
                        <w:t xml:space="preserve">the </w:t>
                      </w:r>
                      <w:r>
                        <w:rPr>
                          <w:rFonts w:ascii="Myriad Pro" w:hAnsi="Myriad Pro"/>
                          <w:sz w:val="22"/>
                        </w:rPr>
                        <w:t xml:space="preserve">second </w:t>
                      </w:r>
                      <w:r w:rsidRPr="009749B2">
                        <w:rPr>
                          <w:rFonts w:ascii="Myriad Pro" w:hAnsi="Myriad Pro"/>
                          <w:sz w:val="22"/>
                        </w:rPr>
                        <w:t>largest portion</w:t>
                      </w:r>
                      <w:r>
                        <w:rPr>
                          <w:rFonts w:ascii="Myriad Pro" w:hAnsi="Myriad Pro"/>
                          <w:sz w:val="22"/>
                        </w:rPr>
                        <w:t xml:space="preserve"> of the revenue pie. </w:t>
                      </w:r>
                      <w:r w:rsidR="007E0F88">
                        <w:rPr>
                          <w:rFonts w:ascii="Myriad Pro" w:hAnsi="Myriad Pro"/>
                          <w:sz w:val="22"/>
                        </w:rPr>
                        <w:t>T</w:t>
                      </w:r>
                      <w:r>
                        <w:rPr>
                          <w:rFonts w:ascii="Myriad Pro" w:hAnsi="Myriad Pro"/>
                          <w:sz w:val="22"/>
                        </w:rPr>
                        <w:t xml:space="preserve">he largest segment </w:t>
                      </w:r>
                      <w:r w:rsidR="007E0F88">
                        <w:rPr>
                          <w:rFonts w:ascii="Myriad Pro" w:hAnsi="Myriad Pro"/>
                          <w:sz w:val="22"/>
                        </w:rPr>
                        <w:t xml:space="preserve">is comprised </w:t>
                      </w:r>
                      <w:r>
                        <w:rPr>
                          <w:rFonts w:ascii="Myriad Pro" w:hAnsi="Myriad Pro"/>
                          <w:sz w:val="22"/>
                        </w:rPr>
                        <w:t xml:space="preserve">of </w:t>
                      </w:r>
                      <w:r w:rsidR="007E0F88">
                        <w:rPr>
                          <w:rFonts w:ascii="Myriad Pro" w:hAnsi="Myriad Pro"/>
                          <w:sz w:val="22"/>
                        </w:rPr>
                        <w:t>individuals</w:t>
                      </w:r>
                      <w:r>
                        <w:rPr>
                          <w:rFonts w:ascii="Myriad Pro" w:hAnsi="Myriad Pro"/>
                          <w:sz w:val="22"/>
                        </w:rPr>
                        <w:t xml:space="preserve">. </w:t>
                      </w:r>
                    </w:p>
                    <w:p w14:paraId="6F153634" w14:textId="77777777" w:rsidR="00F730EB" w:rsidRDefault="00F730EB" w:rsidP="00F730EB">
                      <w:pPr>
                        <w:spacing w:line="280" w:lineRule="atLeast"/>
                        <w:rPr>
                          <w:rFonts w:ascii="Myriad Pro" w:hAnsi="Myriad Pro"/>
                          <w:sz w:val="22"/>
                        </w:rPr>
                      </w:pPr>
                    </w:p>
                    <w:p w14:paraId="1BCD4907" w14:textId="3E6DA69C" w:rsidR="00F730EB" w:rsidRDefault="00F730EB" w:rsidP="00F730EB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spacing w:line="280" w:lineRule="atLeast"/>
                        <w:ind w:left="540"/>
                        <w:rPr>
                          <w:rFonts w:ascii="Myriad Pro" w:hAnsi="Myriad Pro"/>
                          <w:sz w:val="22"/>
                        </w:rPr>
                      </w:pPr>
                      <w:r w:rsidRPr="00DD2117">
                        <w:rPr>
                          <w:rFonts w:ascii="Myriad Pro" w:hAnsi="Myriad Pro"/>
                          <w:sz w:val="22"/>
                          <w:u w:val="single"/>
                        </w:rPr>
                        <w:t>Government</w:t>
                      </w:r>
                      <w:r>
                        <w:rPr>
                          <w:rFonts w:ascii="Myriad Pro" w:hAnsi="Myriad Pro"/>
                          <w:sz w:val="22"/>
                        </w:rPr>
                        <w:t xml:space="preserve"> funding</w:t>
                      </w:r>
                      <w:r w:rsidR="00E63733">
                        <w:rPr>
                          <w:rFonts w:ascii="Myriad Pro" w:hAnsi="Myriad Pro"/>
                          <w:sz w:val="22"/>
                        </w:rPr>
                        <w:t xml:space="preserve"> (10%)</w:t>
                      </w:r>
                      <w:r>
                        <w:rPr>
                          <w:rFonts w:ascii="Myriad Pro" w:hAnsi="Myriad Pro"/>
                          <w:sz w:val="22"/>
                        </w:rPr>
                        <w:t>—local, state, and federal—is the smallest of the three revenue categories, yet is a vital lever in generating private sector contributions</w:t>
                      </w:r>
                      <w:r w:rsidRPr="009749B2">
                        <w:rPr>
                          <w:rFonts w:ascii="Myriad Pro" w:hAnsi="Myriad Pro"/>
                          <w:sz w:val="22"/>
                        </w:rPr>
                        <w:t>. Note</w:t>
                      </w:r>
                      <w:r>
                        <w:rPr>
                          <w:rFonts w:ascii="Myriad Pro" w:hAnsi="Myriad Pro"/>
                          <w:sz w:val="22"/>
                        </w:rPr>
                        <w:t xml:space="preserve"> that total </w:t>
                      </w:r>
                      <w:r w:rsidRPr="009749B2">
                        <w:rPr>
                          <w:rFonts w:ascii="Myriad Pro" w:hAnsi="Myriad Pro"/>
                          <w:sz w:val="22"/>
                        </w:rPr>
                        <w:t xml:space="preserve">federal arts support </w:t>
                      </w:r>
                      <w:r>
                        <w:rPr>
                          <w:rFonts w:ascii="Myriad Pro" w:hAnsi="Myriad Pro"/>
                          <w:sz w:val="22"/>
                        </w:rPr>
                        <w:t xml:space="preserve">is not limited to the </w:t>
                      </w:r>
                      <w:r w:rsidRPr="009749B2">
                        <w:rPr>
                          <w:rFonts w:ascii="Myriad Pro" w:hAnsi="Myriad Pro"/>
                          <w:sz w:val="22"/>
                        </w:rPr>
                        <w:t>N</w:t>
                      </w:r>
                      <w:r>
                        <w:rPr>
                          <w:rFonts w:ascii="Myriad Pro" w:hAnsi="Myriad Pro"/>
                          <w:sz w:val="22"/>
                        </w:rPr>
                        <w:t xml:space="preserve">ational Endowment for the Arts. It also includes the </w:t>
                      </w:r>
                      <w:r w:rsidRPr="009749B2">
                        <w:rPr>
                          <w:rFonts w:ascii="Myriad Pro" w:hAnsi="Myriad Pro"/>
                          <w:sz w:val="22"/>
                        </w:rPr>
                        <w:t>Kennedy Center, Smithsonian</w:t>
                      </w:r>
                      <w:r>
                        <w:rPr>
                          <w:rFonts w:ascii="Myriad Pro" w:hAnsi="Myriad Pro"/>
                          <w:sz w:val="22"/>
                        </w:rPr>
                        <w:t xml:space="preserve"> Institution</w:t>
                      </w:r>
                      <w:r w:rsidRPr="009749B2">
                        <w:rPr>
                          <w:rFonts w:ascii="Myriad Pro" w:hAnsi="Myriad Pro"/>
                          <w:sz w:val="22"/>
                        </w:rPr>
                        <w:t xml:space="preserve">, </w:t>
                      </w:r>
                      <w:r>
                        <w:rPr>
                          <w:rFonts w:ascii="Myriad Pro" w:hAnsi="Myriad Pro"/>
                          <w:sz w:val="22"/>
                        </w:rPr>
                        <w:t xml:space="preserve">Corporation for Public Broadcasting, </w:t>
                      </w:r>
                      <w:r w:rsidRPr="009749B2">
                        <w:rPr>
                          <w:rFonts w:ascii="Myriad Pro" w:hAnsi="Myriad Pro"/>
                          <w:sz w:val="22"/>
                        </w:rPr>
                        <w:t xml:space="preserve">and </w:t>
                      </w:r>
                      <w:r>
                        <w:rPr>
                          <w:rFonts w:ascii="Myriad Pro" w:hAnsi="Myriad Pro"/>
                          <w:sz w:val="22"/>
                        </w:rPr>
                        <w:t xml:space="preserve">even </w:t>
                      </w:r>
                      <w:r w:rsidR="007E0F88">
                        <w:rPr>
                          <w:rFonts w:ascii="Myriad Pro" w:hAnsi="Myriad Pro"/>
                          <w:sz w:val="22"/>
                        </w:rPr>
                        <w:t xml:space="preserve">arts programming within the agencies such </w:t>
                      </w:r>
                      <w:r>
                        <w:rPr>
                          <w:rFonts w:ascii="Myriad Pro" w:hAnsi="Myriad Pro"/>
                          <w:sz w:val="22"/>
                        </w:rPr>
                        <w:t>as the U.S. Departments of Justice and Education</w:t>
                      </w:r>
                      <w:r w:rsidR="007E0F88">
                        <w:rPr>
                          <w:rFonts w:ascii="Myriad Pro" w:hAnsi="Myriad Pro"/>
                          <w:sz w:val="22"/>
                        </w:rPr>
                        <w:t>.</w:t>
                      </w:r>
                      <w:r>
                        <w:rPr>
                          <w:rFonts w:ascii="Myriad Pro" w:hAnsi="Myriad Pro"/>
                          <w:sz w:val="22"/>
                        </w:rPr>
                        <w:t xml:space="preserve"> Local and state governments have similarly diverse sources of arts funding.</w:t>
                      </w:r>
                    </w:p>
                    <w:p w14:paraId="2D7746D2" w14:textId="77777777" w:rsidR="00F730EB" w:rsidRDefault="00F730EB" w:rsidP="00F730EB">
                      <w:pPr>
                        <w:spacing w:line="280" w:lineRule="atLeast"/>
                        <w:rPr>
                          <w:rFonts w:ascii="Myriad Pro" w:hAnsi="Myriad Pro"/>
                          <w:sz w:val="22"/>
                        </w:rPr>
                      </w:pPr>
                    </w:p>
                    <w:p w14:paraId="53E49F62" w14:textId="49681782" w:rsidR="00F730EB" w:rsidRPr="009749B2" w:rsidRDefault="00F730EB" w:rsidP="00F730EB">
                      <w:pPr>
                        <w:spacing w:line="280" w:lineRule="atLeast"/>
                        <w:rPr>
                          <w:rFonts w:ascii="Myriad Pro" w:hAnsi="Myriad Pro"/>
                        </w:rPr>
                      </w:pPr>
                      <w:r w:rsidRPr="009749B2">
                        <w:rPr>
                          <w:rFonts w:ascii="Myriad Pro" w:hAnsi="Myriad Pro"/>
                          <w:sz w:val="18"/>
                        </w:rPr>
                        <w:t>Sou</w:t>
                      </w:r>
                      <w:r>
                        <w:rPr>
                          <w:rFonts w:ascii="Myriad Pro" w:hAnsi="Myriad Pro"/>
                          <w:sz w:val="18"/>
                        </w:rPr>
                        <w:t>rce: Estimate by Americans for the Arts based on analyses of federal and industry association data.  20</w:t>
                      </w:r>
                      <w:r w:rsidR="00E63733">
                        <w:rPr>
                          <w:rFonts w:ascii="Myriad Pro" w:hAnsi="Myriad Pro"/>
                          <w:sz w:val="18"/>
                        </w:rPr>
                        <w:t>20</w:t>
                      </w:r>
                      <w:r w:rsidRPr="009749B2">
                        <w:rPr>
                          <w:rFonts w:ascii="Myriad Pro" w:hAnsi="Myriad Pro"/>
                          <w:sz w:val="18"/>
                        </w:rPr>
                        <w:t>.</w:t>
                      </w:r>
                    </w:p>
                    <w:p w14:paraId="04C35C2E" w14:textId="77777777" w:rsidR="00F730EB" w:rsidRDefault="00F730EB" w:rsidP="00F730EB">
                      <w:pPr>
                        <w:spacing w:line="280" w:lineRule="atLeas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55B40190" w14:textId="77777777" w:rsidR="00F730EB" w:rsidRDefault="00F730EB" w:rsidP="00F730EB"/>
                    <w:p w14:paraId="131D1E92" w14:textId="77777777" w:rsidR="00B31B6B" w:rsidRDefault="00B31B6B"/>
                  </w:txbxContent>
                </v:textbox>
                <w10:wrap anchorx="margin"/>
              </v:shape>
            </w:pict>
          </mc:Fallback>
        </mc:AlternateContent>
      </w:r>
      <w:r w:rsidR="00A15477">
        <w:rPr>
          <w:noProof/>
        </w:rPr>
        <w:drawing>
          <wp:inline distT="0" distB="0" distL="0" distR="0" wp14:anchorId="0051459A" wp14:editId="401095A3">
            <wp:extent cx="5469527" cy="3920150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5" r="4782" b="8328"/>
                    <a:stretch/>
                  </pic:blipFill>
                  <pic:spPr bwMode="auto">
                    <a:xfrm>
                      <a:off x="0" y="0"/>
                      <a:ext cx="5488568" cy="393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57AE1" w:rsidSect="00490C9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DE37D" w14:textId="77777777" w:rsidR="00F0281B" w:rsidRDefault="00F0281B">
      <w:r>
        <w:separator/>
      </w:r>
    </w:p>
  </w:endnote>
  <w:endnote w:type="continuationSeparator" w:id="0">
    <w:p w14:paraId="6E8EA08A" w14:textId="77777777" w:rsidR="00F0281B" w:rsidRDefault="00F0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D6144" w14:textId="77777777" w:rsidR="00B31B6B" w:rsidRDefault="001F1E35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EAE47E" wp14:editId="2C4CBF58">
              <wp:simplePos x="0" y="0"/>
              <wp:positionH relativeFrom="column">
                <wp:align>center</wp:align>
              </wp:positionH>
              <wp:positionV relativeFrom="paragraph">
                <wp:posOffset>113665</wp:posOffset>
              </wp:positionV>
              <wp:extent cx="3124200" cy="342900"/>
              <wp:effectExtent l="0" t="0" r="0" b="444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925B2" w14:textId="77777777" w:rsidR="00B31B6B" w:rsidRPr="0069603B" w:rsidRDefault="00B31B6B" w:rsidP="0011056A">
                          <w:pPr>
                            <w:jc w:val="center"/>
                            <w:rPr>
                              <w:rFonts w:ascii="Myriad Pro" w:hAnsi="Myriad Pro"/>
                              <w:b/>
                              <w:sz w:val="28"/>
                              <w:szCs w:val="28"/>
                            </w:rPr>
                          </w:pPr>
                          <w:r w:rsidRPr="0069603B">
                            <w:rPr>
                              <w:rFonts w:ascii="Myriad Pro" w:hAnsi="Myriad Pro"/>
                              <w:b/>
                              <w:sz w:val="28"/>
                              <w:szCs w:val="28"/>
                            </w:rPr>
                            <w:t>www.AmericansForTheArts.org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AE4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0;margin-top:8.95pt;width:246pt;height:27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" stroked="f">
              <v:textbox>
                <w:txbxContent>
                  <w:p w14:paraId="0C5925B2" w14:textId="77777777" w:rsidR="00B31B6B" w:rsidRPr="0069603B" w:rsidRDefault="00B31B6B" w:rsidP="0011056A">
                    <w:pPr>
                      <w:jc w:val="center"/>
                      <w:rPr>
                        <w:rFonts w:ascii="Myriad Pro" w:hAnsi="Myriad Pro"/>
                        <w:b/>
                        <w:sz w:val="28"/>
                        <w:szCs w:val="28"/>
                      </w:rPr>
                    </w:pPr>
                    <w:r w:rsidRPr="0069603B">
                      <w:rPr>
                        <w:rFonts w:ascii="Myriad Pro" w:hAnsi="Myriad Pro"/>
                        <w:b/>
                        <w:sz w:val="28"/>
                        <w:szCs w:val="28"/>
                      </w:rPr>
                      <w:t>www.AmericansForTheArts.org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B9AE5" w14:textId="77777777" w:rsidR="00F0281B" w:rsidRDefault="00F0281B">
      <w:r>
        <w:separator/>
      </w:r>
    </w:p>
  </w:footnote>
  <w:footnote w:type="continuationSeparator" w:id="0">
    <w:p w14:paraId="417594E1" w14:textId="77777777" w:rsidR="00F0281B" w:rsidRDefault="00F02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278B5" w14:textId="77777777" w:rsidR="00B31B6B" w:rsidRDefault="008D4E8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5EB778" wp14:editId="14B1753A">
          <wp:simplePos x="0" y="0"/>
          <wp:positionH relativeFrom="column">
            <wp:posOffset>-3175</wp:posOffset>
          </wp:positionH>
          <wp:positionV relativeFrom="paragraph">
            <wp:posOffset>-436880</wp:posOffset>
          </wp:positionV>
          <wp:extent cx="1079500" cy="1270635"/>
          <wp:effectExtent l="19050" t="0" r="635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1624" t="27750" r="25031" b="19501"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270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1BD7918" w14:textId="77777777" w:rsidR="00B31B6B" w:rsidRDefault="00B31B6B">
    <w:pPr>
      <w:pStyle w:val="Header"/>
    </w:pPr>
  </w:p>
  <w:p w14:paraId="2CDB502F" w14:textId="77777777" w:rsidR="00B31B6B" w:rsidRDefault="00B31B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2698E"/>
    <w:multiLevelType w:val="hybridMultilevel"/>
    <w:tmpl w:val="73BEE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33F8C"/>
    <w:multiLevelType w:val="hybridMultilevel"/>
    <w:tmpl w:val="61DE0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05A05"/>
    <w:multiLevelType w:val="hybridMultilevel"/>
    <w:tmpl w:val="569E4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D366F"/>
    <w:multiLevelType w:val="hybridMultilevel"/>
    <w:tmpl w:val="73BEE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6A"/>
    <w:rsid w:val="0004602D"/>
    <w:rsid w:val="000A7650"/>
    <w:rsid w:val="0011056A"/>
    <w:rsid w:val="0011448A"/>
    <w:rsid w:val="0015649A"/>
    <w:rsid w:val="00171F8D"/>
    <w:rsid w:val="00187431"/>
    <w:rsid w:val="001933EE"/>
    <w:rsid w:val="001C424E"/>
    <w:rsid w:val="001C65C3"/>
    <w:rsid w:val="001F1E35"/>
    <w:rsid w:val="00234BFB"/>
    <w:rsid w:val="00252130"/>
    <w:rsid w:val="002927CC"/>
    <w:rsid w:val="002941BF"/>
    <w:rsid w:val="002C0D53"/>
    <w:rsid w:val="002D15F5"/>
    <w:rsid w:val="002F48C5"/>
    <w:rsid w:val="002F4CD6"/>
    <w:rsid w:val="0034086F"/>
    <w:rsid w:val="00373973"/>
    <w:rsid w:val="003C5174"/>
    <w:rsid w:val="003E71ED"/>
    <w:rsid w:val="00413077"/>
    <w:rsid w:val="00427403"/>
    <w:rsid w:val="00436D56"/>
    <w:rsid w:val="004526A8"/>
    <w:rsid w:val="00457AE1"/>
    <w:rsid w:val="00490C9A"/>
    <w:rsid w:val="00494C9D"/>
    <w:rsid w:val="004F3E67"/>
    <w:rsid w:val="005816CE"/>
    <w:rsid w:val="00592B5D"/>
    <w:rsid w:val="005A3226"/>
    <w:rsid w:val="005F2D8F"/>
    <w:rsid w:val="005F6FB4"/>
    <w:rsid w:val="006465AD"/>
    <w:rsid w:val="00666F5E"/>
    <w:rsid w:val="006F5947"/>
    <w:rsid w:val="00717065"/>
    <w:rsid w:val="007D6251"/>
    <w:rsid w:val="007E0F88"/>
    <w:rsid w:val="0080603D"/>
    <w:rsid w:val="008C195E"/>
    <w:rsid w:val="008D1F0F"/>
    <w:rsid w:val="008D4E8E"/>
    <w:rsid w:val="008D6943"/>
    <w:rsid w:val="00905F0E"/>
    <w:rsid w:val="00951505"/>
    <w:rsid w:val="00972E14"/>
    <w:rsid w:val="009749B2"/>
    <w:rsid w:val="00977FCA"/>
    <w:rsid w:val="009833E5"/>
    <w:rsid w:val="009A79C3"/>
    <w:rsid w:val="009D7E6B"/>
    <w:rsid w:val="00A03FBC"/>
    <w:rsid w:val="00A07411"/>
    <w:rsid w:val="00A15477"/>
    <w:rsid w:val="00AB5AA5"/>
    <w:rsid w:val="00AF7A55"/>
    <w:rsid w:val="00B060E3"/>
    <w:rsid w:val="00B31B6B"/>
    <w:rsid w:val="00B3322F"/>
    <w:rsid w:val="00B62F79"/>
    <w:rsid w:val="00B66325"/>
    <w:rsid w:val="00BA052C"/>
    <w:rsid w:val="00BF5DA6"/>
    <w:rsid w:val="00C005C4"/>
    <w:rsid w:val="00C00CB8"/>
    <w:rsid w:val="00C37E89"/>
    <w:rsid w:val="00D655A0"/>
    <w:rsid w:val="00D95150"/>
    <w:rsid w:val="00DC4FA6"/>
    <w:rsid w:val="00DD2117"/>
    <w:rsid w:val="00DF0827"/>
    <w:rsid w:val="00E301D7"/>
    <w:rsid w:val="00E6331F"/>
    <w:rsid w:val="00E63733"/>
    <w:rsid w:val="00E73D37"/>
    <w:rsid w:val="00EC4886"/>
    <w:rsid w:val="00ED67F5"/>
    <w:rsid w:val="00EE0533"/>
    <w:rsid w:val="00F000F4"/>
    <w:rsid w:val="00F0281B"/>
    <w:rsid w:val="00F730EB"/>
    <w:rsid w:val="00FB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1E8E80"/>
  <w15:docId w15:val="{47C76A4C-D546-4E1E-80EA-F9CBF98F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0533"/>
    <w:rPr>
      <w:sz w:val="24"/>
      <w:szCs w:val="24"/>
    </w:rPr>
  </w:style>
  <w:style w:type="paragraph" w:styleId="Heading1">
    <w:name w:val="heading 1"/>
    <w:basedOn w:val="Normal"/>
    <w:next w:val="Normal"/>
    <w:qFormat/>
    <w:rsid w:val="00EE0533"/>
    <w:pPr>
      <w:keepNext/>
      <w:spacing w:line="280" w:lineRule="atLeast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0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533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EE0533"/>
    <w:rPr>
      <w:b/>
      <w:bCs/>
      <w:sz w:val="22"/>
      <w:u w:val="single"/>
    </w:rPr>
  </w:style>
  <w:style w:type="paragraph" w:styleId="NormalWeb">
    <w:name w:val="Normal (Web)"/>
    <w:basedOn w:val="Normal"/>
    <w:rsid w:val="00EE053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rsid w:val="00EE0533"/>
    <w:pPr>
      <w:spacing w:line="280" w:lineRule="atLeast"/>
      <w:ind w:left="1440"/>
    </w:pPr>
  </w:style>
  <w:style w:type="paragraph" w:styleId="BalloonText">
    <w:name w:val="Balloon Text"/>
    <w:basedOn w:val="Normal"/>
    <w:semiHidden/>
    <w:rsid w:val="00972E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521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21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2130"/>
  </w:style>
  <w:style w:type="paragraph" w:styleId="CommentSubject">
    <w:name w:val="annotation subject"/>
    <w:basedOn w:val="CommentText"/>
    <w:next w:val="CommentText"/>
    <w:link w:val="CommentSubjectChar"/>
    <w:rsid w:val="00252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21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8EE3E-3F23-4338-B41C-65EDBF0F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Randy Cohen</dc:creator>
  <cp:lastModifiedBy>Randy Cohen</cp:lastModifiedBy>
  <cp:revision>3</cp:revision>
  <cp:lastPrinted>2020-02-03T16:54:00Z</cp:lastPrinted>
  <dcterms:created xsi:type="dcterms:W3CDTF">2021-02-20T19:57:00Z</dcterms:created>
  <dcterms:modified xsi:type="dcterms:W3CDTF">2021-03-09T04:08:00Z</dcterms:modified>
</cp:coreProperties>
</file>